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159" w:rsidRDefault="00F15DE1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Проектный замысел</w:t>
      </w:r>
    </w:p>
    <w:p w:rsidR="009A6159" w:rsidRDefault="00F15DE1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«Создание мотивирующей образовательной среды как фактор развития критического мышления школьников»</w:t>
      </w:r>
    </w:p>
    <w:tbl>
      <w:tblPr>
        <w:tblW w:w="5000" w:type="pct"/>
        <w:tblInd w:w="-175" w:type="dxa"/>
        <w:tblLook w:val="01E0"/>
      </w:tblPr>
      <w:tblGrid>
        <w:gridCol w:w="3935"/>
        <w:gridCol w:w="86"/>
        <w:gridCol w:w="5550"/>
      </w:tblGrid>
      <w:tr w:rsidR="00F15DE1" w:rsidTr="00D037D7">
        <w:tc>
          <w:tcPr>
            <w:tcW w:w="10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5DE1" w:rsidRDefault="00F15DE1" w:rsidP="00F15DE1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Общие сведения</w:t>
            </w:r>
          </w:p>
        </w:tc>
      </w:tr>
      <w:tr w:rsidR="00F15DE1" w:rsidTr="00D037D7">
        <w:trPr>
          <w:trHeight w:val="1598"/>
        </w:trPr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5DE1" w:rsidRDefault="00F15DE1" w:rsidP="00D037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1.1.Образовательная организация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(полное наименование организации в соответствии с Уставом)</w:t>
            </w:r>
          </w:p>
        </w:tc>
        <w:tc>
          <w:tcPr>
            <w:tcW w:w="6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5DE1" w:rsidRDefault="00F15DE1" w:rsidP="00D037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автономное общеобразовательное учреждение средняя общеобразовательная школа № 8</w:t>
            </w:r>
          </w:p>
        </w:tc>
      </w:tr>
      <w:tr w:rsidR="00F15DE1" w:rsidTr="00D037D7">
        <w:trPr>
          <w:trHeight w:val="360"/>
        </w:trPr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5DE1" w:rsidRDefault="00F15DE1" w:rsidP="00D037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1.2.Городской/муниципальный округ, муниципальный район</w:t>
            </w:r>
          </w:p>
        </w:tc>
        <w:tc>
          <w:tcPr>
            <w:tcW w:w="6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5DE1" w:rsidRDefault="00F15DE1" w:rsidP="00D037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 «Город Березники»</w:t>
            </w:r>
          </w:p>
        </w:tc>
      </w:tr>
      <w:tr w:rsidR="00F15DE1" w:rsidTr="00D037D7">
        <w:trPr>
          <w:trHeight w:val="1429"/>
        </w:trPr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5DE1" w:rsidRDefault="00F15DE1" w:rsidP="00D037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1.3.Фамилия, имя, отчество руководителя административно-педагогической команды </w:t>
            </w:r>
          </w:p>
        </w:tc>
        <w:tc>
          <w:tcPr>
            <w:tcW w:w="6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5DE1" w:rsidRDefault="00F15DE1" w:rsidP="00D037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Яборова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Владимировна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заместитель директора по УР</w:t>
            </w:r>
          </w:p>
        </w:tc>
      </w:tr>
      <w:tr w:rsidR="00F15DE1" w:rsidTr="00D037D7">
        <w:trPr>
          <w:trHeight w:val="150"/>
        </w:trPr>
        <w:tc>
          <w:tcPr>
            <w:tcW w:w="10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5DE1" w:rsidRPr="0085560D" w:rsidRDefault="00F15DE1" w:rsidP="00D037D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560D">
              <w:rPr>
                <w:rFonts w:ascii="Times New Roman" w:hAnsi="Times New Roman" w:cs="Times New Roman"/>
                <w:b/>
                <w:sz w:val="28"/>
                <w:szCs w:val="28"/>
              </w:rPr>
              <w:t>Контакты руководителя административно-педагогической команды</w:t>
            </w:r>
          </w:p>
        </w:tc>
      </w:tr>
      <w:tr w:rsidR="00F15DE1" w:rsidTr="00D037D7">
        <w:trPr>
          <w:trHeight w:val="159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DE1" w:rsidRDefault="00F15DE1" w:rsidP="00D037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Рабочий телефон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5DE1" w:rsidRDefault="00F15DE1" w:rsidP="00D037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8 342 241840</w:t>
            </w:r>
          </w:p>
        </w:tc>
      </w:tr>
      <w:tr w:rsidR="00F15DE1" w:rsidTr="00D037D7">
        <w:trPr>
          <w:trHeight w:val="395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DE1" w:rsidRDefault="00F15DE1" w:rsidP="00D037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Мобильный телефон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5DE1" w:rsidRDefault="00F15DE1" w:rsidP="00D037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89027955825</w:t>
            </w:r>
          </w:p>
        </w:tc>
      </w:tr>
      <w:tr w:rsidR="00F15DE1" w:rsidTr="00D037D7">
        <w:trPr>
          <w:trHeight w:val="285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DE1" w:rsidRDefault="00F15DE1" w:rsidP="00D037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E-mail</w:t>
            </w:r>
            <w:proofErr w:type="spellEnd"/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5DE1" w:rsidRDefault="00F15DE1" w:rsidP="00D037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Pr="00F15DE1">
                <w:rPr>
                  <w:rStyle w:val="-"/>
                  <w:rFonts w:ascii="Times New Roman" w:hAnsi="Times New Roman" w:cs="Times New Roman"/>
                  <w:sz w:val="28"/>
                  <w:szCs w:val="28"/>
                </w:rPr>
                <w:t>anyayab@yandex.ru</w:t>
              </w:r>
            </w:hyperlink>
            <w:r>
              <w:rPr>
                <w:rFonts w:ascii="Verdana" w:hAnsi="Verdana"/>
                <w:sz w:val="9"/>
                <w:szCs w:val="9"/>
                <w:shd w:val="clear" w:color="auto" w:fill="FFFFFF"/>
              </w:rPr>
              <w:t xml:space="preserve"> </w:t>
            </w:r>
          </w:p>
        </w:tc>
      </w:tr>
      <w:tr w:rsidR="00F15DE1" w:rsidTr="00D037D7">
        <w:trPr>
          <w:trHeight w:val="212"/>
        </w:trPr>
        <w:tc>
          <w:tcPr>
            <w:tcW w:w="10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DE1" w:rsidRPr="0085560D" w:rsidRDefault="00F15DE1" w:rsidP="00F15DE1">
            <w:pPr>
              <w:pStyle w:val="a4"/>
              <w:numPr>
                <w:ilvl w:val="1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560D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составе административно-педагогической команды</w:t>
            </w:r>
          </w:p>
          <w:p w:rsidR="00F15DE1" w:rsidRDefault="00F15DE1" w:rsidP="00D037D7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(количество участников  на  усмотрение руководителя административно-педагогической команды)</w:t>
            </w:r>
          </w:p>
        </w:tc>
      </w:tr>
      <w:tr w:rsidR="00F15DE1" w:rsidTr="00D037D7">
        <w:trPr>
          <w:trHeight w:val="152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DE1" w:rsidRDefault="00F15DE1" w:rsidP="00D037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ФИО (полностью), должность, контакты участника 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5DE1" w:rsidRDefault="00F15DE1" w:rsidP="00D037D7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Елькина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Николаевна, заместитель директора МАОУ СОШ № 8 по УР, 89082418693, </w:t>
            </w:r>
            <w:hyperlink r:id="rId7">
              <w:r>
                <w:rPr>
                  <w:rStyle w:val="-"/>
                  <w:rFonts w:ascii="Times New Roman" w:hAnsi="Times New Roman" w:cs="Times New Roman"/>
                  <w:sz w:val="28"/>
                  <w:szCs w:val="28"/>
                </w:rPr>
                <w:t>olga-elkina@yandex.ru</w:t>
              </w:r>
            </w:hyperlink>
          </w:p>
          <w:p w:rsidR="00F15DE1" w:rsidRDefault="00F15DE1" w:rsidP="00D037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5DE1" w:rsidTr="00D037D7">
        <w:trPr>
          <w:trHeight w:val="159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DE1" w:rsidRDefault="00F15DE1" w:rsidP="00D037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2.ФИО (полностью), должность, контакты участника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5DE1" w:rsidRDefault="00F15DE1" w:rsidP="00D037D7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Яборова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Анна Владимировна, заместитель директора МАОУ СОШ № 8 по УР, 89027955825, </w:t>
            </w:r>
            <w:hyperlink r:id="rId8">
              <w:r>
                <w:rPr>
                  <w:rStyle w:val="-"/>
                  <w:rFonts w:ascii="Times New Roman" w:hAnsi="Times New Roman" w:cs="Times New Roman"/>
                  <w:sz w:val="28"/>
                  <w:szCs w:val="28"/>
                  <w:lang w:val="en-US"/>
                </w:rPr>
                <w:t>anyayab</w:t>
              </w:r>
              <w:r>
                <w:rPr>
                  <w:rStyle w:val="-"/>
                  <w:rFonts w:ascii="Times New Roman" w:hAnsi="Times New Roman" w:cs="Times New Roman"/>
                  <w:sz w:val="28"/>
                  <w:szCs w:val="28"/>
                </w:rPr>
                <w:t>@</w:t>
              </w:r>
              <w:r>
                <w:rPr>
                  <w:rStyle w:val="-"/>
                  <w:rFonts w:ascii="Times New Roman" w:hAnsi="Times New Roman" w:cs="Times New Roman"/>
                  <w:sz w:val="28"/>
                  <w:szCs w:val="28"/>
                  <w:lang w:val="en-US"/>
                </w:rPr>
                <w:t>yandex</w:t>
              </w:r>
              <w:r>
                <w:rPr>
                  <w:rStyle w:val="-"/>
                  <w:rFonts w:ascii="Times New Roman" w:hAnsi="Times New Roman" w:cs="Times New Roman"/>
                  <w:sz w:val="28"/>
                  <w:szCs w:val="28"/>
                </w:rPr>
                <w:t>.</w:t>
              </w:r>
              <w:r>
                <w:rPr>
                  <w:rStyle w:val="-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</w:p>
          <w:p w:rsidR="00F15DE1" w:rsidRDefault="00F15DE1" w:rsidP="00D037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5DE1" w:rsidTr="00D037D7">
        <w:trPr>
          <w:trHeight w:val="328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DE1" w:rsidRDefault="00F15DE1" w:rsidP="00D037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3.ФИО (полностью), должность, контакты участника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5DE1" w:rsidRDefault="00F15DE1" w:rsidP="00D037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Чернявина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Лариса Анатольевна, учитель русского языка и литературы, 89127804347, </w:t>
            </w:r>
            <w:hyperlink r:id="rId9" w:history="1">
              <w:r w:rsidRPr="00DC662D">
                <w:rPr>
                  <w:rStyle w:val="-"/>
                  <w:rFonts w:ascii="Times New Roman" w:hAnsi="Times New Roman" w:cs="Times New Roman"/>
                  <w:sz w:val="28"/>
                  <w:szCs w:val="28"/>
                  <w:lang w:val="en-US"/>
                </w:rPr>
                <w:t>larisa</w:t>
              </w:r>
              <w:r w:rsidRPr="00DC662D">
                <w:rPr>
                  <w:rStyle w:val="-"/>
                  <w:rFonts w:ascii="Times New Roman" w:hAnsi="Times New Roman" w:cs="Times New Roman"/>
                  <w:sz w:val="28"/>
                  <w:szCs w:val="28"/>
                </w:rPr>
                <w:t>-</w:t>
              </w:r>
              <w:r w:rsidRPr="00DC662D">
                <w:rPr>
                  <w:rStyle w:val="-"/>
                  <w:rFonts w:ascii="Times New Roman" w:hAnsi="Times New Roman" w:cs="Times New Roman"/>
                  <w:sz w:val="28"/>
                  <w:szCs w:val="28"/>
                  <w:lang w:val="en-US"/>
                </w:rPr>
                <w:t>green</w:t>
              </w:r>
              <w:r w:rsidRPr="00DC662D">
                <w:rPr>
                  <w:rStyle w:val="-"/>
                  <w:rFonts w:ascii="Times New Roman" w:hAnsi="Times New Roman" w:cs="Times New Roman"/>
                  <w:sz w:val="28"/>
                  <w:szCs w:val="28"/>
                </w:rPr>
                <w:t>.59@</w:t>
              </w:r>
              <w:r w:rsidRPr="00DC662D">
                <w:rPr>
                  <w:rStyle w:val="-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Pr="00DC662D">
                <w:rPr>
                  <w:rStyle w:val="-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DC662D">
                <w:rPr>
                  <w:rStyle w:val="-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  <w:r w:rsidRPr="00DC662D">
              <w:rPr>
                <w:rStyle w:val="-"/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15DE1" w:rsidTr="00D037D7">
        <w:trPr>
          <w:trHeight w:val="496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DE1" w:rsidRDefault="00F15DE1" w:rsidP="00D037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Pr="002E35B1">
              <w:rPr>
                <w:rFonts w:ascii="Times New Roman" w:hAnsi="Times New Roman" w:cs="Times New Roman"/>
                <w:sz w:val="28"/>
                <w:szCs w:val="28"/>
              </w:rPr>
              <w:t>ФИО (полностью), должность, контакты участника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5DE1" w:rsidRDefault="00F15DE1" w:rsidP="00D037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Мокрушина Елена Валерьевна, учитель математики, 89526436865, </w:t>
            </w:r>
            <w:hyperlink r:id="rId10" w:history="1">
              <w:r w:rsidRPr="002E2944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mokrushina_elena@inbox.ru</w:t>
              </w:r>
            </w:hyperlink>
          </w:p>
          <w:p w:rsidR="00F15DE1" w:rsidRDefault="00F15DE1" w:rsidP="00D037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5DE1" w:rsidTr="00D037D7">
        <w:trPr>
          <w:trHeight w:val="496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DE1" w:rsidRDefault="00F15DE1" w:rsidP="00D037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3.5. </w:t>
            </w:r>
            <w:r w:rsidRPr="002E35B1">
              <w:rPr>
                <w:rFonts w:ascii="Times New Roman" w:hAnsi="Times New Roman" w:cs="Times New Roman"/>
                <w:sz w:val="28"/>
                <w:szCs w:val="28"/>
              </w:rPr>
              <w:t>ФИО (полностью), должность, контакты участника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5DE1" w:rsidRDefault="00F15DE1" w:rsidP="00D037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Хромцова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Петровна, учитель биологии, 89197065539, </w:t>
            </w:r>
            <w:hyperlink r:id="rId11" w:history="1">
              <w:r w:rsidRPr="002E2944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hromtsova.sveta@yandex.ru</w:t>
              </w:r>
            </w:hyperlink>
          </w:p>
          <w:p w:rsidR="00F15DE1" w:rsidRDefault="00F15DE1" w:rsidP="00D037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5DE1" w:rsidTr="00D037D7">
        <w:trPr>
          <w:trHeight w:val="496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DE1" w:rsidRDefault="00F15DE1" w:rsidP="00D037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3.6. </w:t>
            </w:r>
            <w:r w:rsidRPr="002E35B1">
              <w:rPr>
                <w:rFonts w:ascii="Times New Roman" w:hAnsi="Times New Roman" w:cs="Times New Roman"/>
                <w:sz w:val="28"/>
                <w:szCs w:val="28"/>
              </w:rPr>
              <w:t xml:space="preserve">ФИО (полностью), должность, контакты </w:t>
            </w:r>
            <w:r w:rsidRPr="002E35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участника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5DE1" w:rsidRDefault="00F15DE1" w:rsidP="00D037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Кунн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 Арнольдовна, учитель  истории и обществознания, 89082453237, </w:t>
            </w:r>
            <w:hyperlink r:id="rId12" w:history="1">
              <w:r w:rsidRPr="002E2944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kunn2017@yandex.ru</w:t>
              </w:r>
            </w:hyperlink>
          </w:p>
          <w:p w:rsidR="00F15DE1" w:rsidRDefault="00F15DE1" w:rsidP="00D037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5DE1" w:rsidTr="00D037D7">
        <w:tc>
          <w:tcPr>
            <w:tcW w:w="10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DE1" w:rsidRDefault="00F15DE1" w:rsidP="00F15DE1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Кратка информация об образовательном (педагогическом) проекте</w:t>
            </w:r>
          </w:p>
        </w:tc>
      </w:tr>
      <w:tr w:rsidR="00F15DE1" w:rsidTr="00D037D7"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DE1" w:rsidRDefault="00F15DE1" w:rsidP="00D037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1.5.Тема и краткая аннотация проекта (проектов), которые предполагается реализовать в условиях сетевого взаимодействия.</w:t>
            </w:r>
          </w:p>
          <w:p w:rsidR="00F15DE1" w:rsidRDefault="00F15DE1" w:rsidP="00D037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DE1" w:rsidRPr="00E028F6" w:rsidRDefault="00F15DE1" w:rsidP="00D037D7">
            <w:pPr>
              <w:pStyle w:val="a9"/>
              <w:spacing w:before="0" w:beforeAutospacing="0" w:after="0" w:afterAutospacing="0"/>
              <w:jc w:val="both"/>
            </w:pPr>
            <w:r w:rsidRPr="00E028F6">
              <w:rPr>
                <w:bCs/>
                <w:color w:val="000000"/>
                <w:sz w:val="28"/>
                <w:szCs w:val="28"/>
              </w:rPr>
              <w:t>«Создание мотивирующей образовательной среды как фактор развития критического мышления школьников»</w:t>
            </w:r>
          </w:p>
          <w:p w:rsidR="00F15DE1" w:rsidRDefault="00F15DE1" w:rsidP="00D037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0C6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В проектном замысле будет представлено описание образовательной среды, которая будет направлена на  создание  таких мотивационных условий, как организация диалогового взаимодействия с родителями, подбор адекватного запросам и интересам детей материала, включение в образовательную деятельность в данном направлении образовательных событий, </w:t>
            </w:r>
            <w:proofErr w:type="spellStart"/>
            <w:r w:rsidRPr="00A80C6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организационно-деятельностных</w:t>
            </w:r>
            <w:proofErr w:type="spellEnd"/>
            <w:r w:rsidRPr="00A80C6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игр в целях развития критического мышления школьников.</w:t>
            </w:r>
          </w:p>
        </w:tc>
      </w:tr>
    </w:tbl>
    <w:p w:rsidR="00F15DE1" w:rsidRDefault="00F15DE1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A6159" w:rsidRDefault="009A615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A6159" w:rsidRDefault="00F15DE1">
      <w:pPr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2.1. Проявление проблемной ситуации в собственной реальной педагогической деятельности</w:t>
      </w:r>
    </w:p>
    <w:p w:rsidR="009A6159" w:rsidRDefault="00F15DE1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последнее время мы все чаще сталкиваемся с проблемой формирования и развития критического мышления у школьников. Наблюдается снижение способности детей подвергать информацию анализу с позиции логики, различных научных подходов и личностного понимания, чт</w:t>
      </w:r>
      <w:r>
        <w:rPr>
          <w:rFonts w:ascii="Times New Roman" w:eastAsia="Times New Roman" w:hAnsi="Times New Roman" w:cs="Times New Roman"/>
          <w:sz w:val="28"/>
          <w:szCs w:val="28"/>
        </w:rPr>
        <w:t>о обуславливает обоснованность его суждений и успешность действий в нестандартных ситуациях. Попав в ситуацию неопределенности, требующей мобилизации усилий в условиях отсутствия готового способа решения, учащиеся демонстрируют крайне низкую степень  мотив</w:t>
      </w:r>
      <w:r>
        <w:rPr>
          <w:rFonts w:ascii="Times New Roman" w:eastAsia="Times New Roman" w:hAnsi="Times New Roman" w:cs="Times New Roman"/>
          <w:sz w:val="28"/>
          <w:szCs w:val="28"/>
        </w:rPr>
        <w:t>ации и готовности к запуску мыслительных операций, начиная с восприятия информации и заканчивая принятием решения. Поэтому становится</w:t>
      </w:r>
      <w:r>
        <w:rPr>
          <w:rFonts w:ascii="Times New Roman" w:eastAsia="Times New Roman" w:hAnsi="Times New Roman" w:cs="Times New Roman"/>
          <w:sz w:val="34"/>
          <w:szCs w:val="3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>актуальным поиск путей развития критического мышления в нашей образовательной организации</w:t>
      </w:r>
      <w:r>
        <w:rPr>
          <w:rFonts w:ascii="Times New Roman" w:eastAsia="Times New Roman" w:hAnsi="Times New Roman" w:cs="Times New Roman"/>
          <w:color w:val="333333"/>
          <w:sz w:val="27"/>
          <w:szCs w:val="27"/>
          <w:highlight w:val="white"/>
        </w:rPr>
        <w:t>.</w:t>
      </w:r>
    </w:p>
    <w:p w:rsidR="009A6159" w:rsidRDefault="00F15DE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2.2. Проблемный анализ ситуации</w:t>
      </w:r>
    </w:p>
    <w:p w:rsidR="009A6159" w:rsidRDefault="00F15DE1">
      <w:pPr>
        <w:spacing w:after="0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Есть основания полагать, что имеющийся у коллектива опыт,  в т.ч. практика работы в заявленном направлении, полученные ранее результаты, наличие опыта проектирования и исследования позволят  качественно реализовать данный образовательный проект.</w:t>
      </w:r>
    </w:p>
    <w:p w:rsidR="009A6159" w:rsidRDefault="00F15DE1">
      <w:pPr>
        <w:spacing w:after="0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 течение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нескольких  лет наше образовательное учреждение являлось краевой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апробационной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площадкой по внедрению ФГОС в основной школе, успешно работающей над формированием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результатов в области смыслового чтения, моделирования. </w:t>
      </w:r>
    </w:p>
    <w:p w:rsidR="009A6159" w:rsidRDefault="00F15DE1">
      <w:pPr>
        <w:spacing w:after="0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Реализуемые программы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апробационной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деятельности «Система работы  с текстом с целью формирования критического мышления и толерантности у подростков», «Система образовательных практик по формированию умений интерпретации текста» позволили разработать интересные  читательские пр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актики.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В результате выработанная на фактическом уровне система работы с текстом, включающая игровые технологии,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критериальное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оценивание, сочетание индивидуальной и групповой работы, привлечение родителей в образовательных целях, дала свои результаты: по</w:t>
      </w:r>
      <w:r>
        <w:rPr>
          <w:rFonts w:ascii="Times New Roman" w:eastAsia="Times New Roman" w:hAnsi="Times New Roman" w:cs="Times New Roman"/>
          <w:sz w:val="28"/>
          <w:szCs w:val="28"/>
        </w:rPr>
        <w:t>высилась мотивация к общению, учащиеся приобрели навыки самоконтроля, появился интерес к публицистике, а главное -  ученики высказали мнение, что контрастные взгляды оппонентов часто служат посылом к рождению их собственного, личного оригинального суждения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Практики были реализованы  во внеурочном пространстве в разных образовательных форматах: краткосрочных курсов, образовательных игр,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интенсивов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A6159" w:rsidRDefault="00F15DE1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Одним из способов формирования у обучающихся готовности к саморазвитию, активной учебно-познавательной деятель</w:t>
      </w:r>
      <w:r>
        <w:rPr>
          <w:rFonts w:ascii="Times New Roman" w:eastAsia="Times New Roman" w:hAnsi="Times New Roman" w:cs="Times New Roman"/>
          <w:sz w:val="28"/>
          <w:szCs w:val="28"/>
        </w:rPr>
        <w:t>ности выступает, на наш взгляд, образовательное событие.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 Под событием понимается  важный, значительный факт личной или общественной жизни, включающий образовательную задачу, реализуемую учащимися в ситуации самостоятельной деятельности. В ходе ее может до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стигаться как предметный, так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метапредметный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результат. За эти годы был приобретен опыт организации и проведения выездных образовательных событий, позволяющих в краткосрочный период достичь запланированного результата. Так, нами были разработаны образова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тельные игры, направленные на формирование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результатов по моделированию и смысловому чтению.  Ежегодно школа становится площадкой для проведения муниципальных образовательных игр по смысловому чтению «В диалоге с автором»,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Дайвинг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погружени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 в текст» и др. С 2015 года школа проводила читательский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АРТ-Фестиваль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«Я читаю этот мир!», который  стал  площадкой для реализации творческих, интеллектуальных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способностей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как учеников, так и учителей в направлении «смысловое чтение». </w:t>
      </w:r>
    </w:p>
    <w:p w:rsidR="009A6159" w:rsidRDefault="00F15DE1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Однако, не смотря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предпринимаемые педагогическим коллективом усилия, понимание того, как формируются, развиваются, диагностируются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базовые умения работы с текстом, наблюдается проблема, связанная с неспособностью решать практические задачи и жизненные проблемные ситуаци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несформированностью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универсальных способов деятельности, неумением применять и интерпретировать извлеченную из текста информацию, демонстрировать навыки критического мышления. </w:t>
      </w:r>
    </w:p>
    <w:p w:rsidR="009A6159" w:rsidRDefault="00F15DE1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Данные проблемы, на наш взгляд, вызваны тем,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что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несмотря на активную иннов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ационную деятельность, её результаты не стали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собственными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для педагогов.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апробационной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деятельности преимущественно принимали участие учителя русского языка и литературы.  Не все педагоги смогли перейти из системы апробации в режим функционирования, и т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ем более не произошло приращения у педагогов других предметов, тем самым в школе не сложилось единой системы. Но достижения и наработки педагогов школы в области смыслового чтения станут той  самой стартовой площадкой для развития других учебных навыков.  </w:t>
      </w:r>
    </w:p>
    <w:p w:rsidR="009A6159" w:rsidRDefault="00F15DE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2.3. Проблема, на решение которой направлен проектный замысел</w:t>
      </w:r>
    </w:p>
    <w:p w:rsidR="009A6159" w:rsidRDefault="00F15DE1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Таким образом,  низкий уровень критического мышления  школьников при решении «жизненных» задач, </w:t>
      </w:r>
      <w:proofErr w:type="spellStart"/>
      <w:r w:rsidRPr="00F15DE1">
        <w:rPr>
          <w:rFonts w:ascii="Times New Roman" w:eastAsia="Times New Roman" w:hAnsi="Times New Roman" w:cs="Times New Roman"/>
          <w:b/>
          <w:sz w:val="28"/>
          <w:szCs w:val="28"/>
        </w:rPr>
        <w:t>квазиреальных</w:t>
      </w:r>
      <w:proofErr w:type="spellEnd"/>
      <w:r w:rsidRPr="00F15DE1">
        <w:rPr>
          <w:rFonts w:ascii="Times New Roman" w:eastAsia="Times New Roman" w:hAnsi="Times New Roman" w:cs="Times New Roman"/>
          <w:b/>
          <w:sz w:val="28"/>
          <w:szCs w:val="28"/>
        </w:rPr>
        <w:t xml:space="preserve"> ситуаций</w:t>
      </w:r>
      <w:r w:rsidRPr="00F15DE1">
        <w:rPr>
          <w:rFonts w:ascii="Times New Roman" w:eastAsia="Times New Roman" w:hAnsi="Times New Roman" w:cs="Times New Roman"/>
          <w:b/>
          <w:sz w:val="28"/>
          <w:szCs w:val="28"/>
        </w:rPr>
        <w:t xml:space="preserve">, обусловленный </w:t>
      </w:r>
      <w:proofErr w:type="spellStart"/>
      <w:r w:rsidRPr="00F15DE1">
        <w:rPr>
          <w:rFonts w:ascii="Times New Roman" w:eastAsia="Times New Roman" w:hAnsi="Times New Roman" w:cs="Times New Roman"/>
          <w:b/>
          <w:sz w:val="28"/>
          <w:szCs w:val="28"/>
        </w:rPr>
        <w:t>немотивирующей</w:t>
      </w:r>
      <w:proofErr w:type="spellEnd"/>
      <w:r w:rsidRPr="00F15DE1">
        <w:rPr>
          <w:rFonts w:ascii="Times New Roman" w:eastAsia="Times New Roman" w:hAnsi="Times New Roman" w:cs="Times New Roman"/>
          <w:b/>
          <w:sz w:val="28"/>
          <w:szCs w:val="28"/>
        </w:rPr>
        <w:t xml:space="preserve"> образовательной средой для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детей и родителей, является объектом нашей проектной деятельности. </w:t>
      </w:r>
    </w:p>
    <w:p w:rsidR="009A6159" w:rsidRDefault="00F15DE1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2.4</w:t>
      </w:r>
    </w:p>
    <w:p w:rsidR="009A6159" w:rsidRDefault="00F15DE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Впервые о «критическом мышлении» заговорили в начале прошлого столетия, благодаря Джону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Дьюи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  <w:r>
        <w:rPr>
          <w:rFonts w:ascii="Times New Roman" w:eastAsia="Times New Roman" w:hAnsi="Times New Roman" w:cs="Times New Roman"/>
          <w:i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По мнению этого удивительного ам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ериканского философа и педагога, главное, чем должны заниматься образовательные учреждения любого типа, - это «обучать детей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думанию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Дьюи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доказывал, что не всякое мышление можно назвать продуктивным, созидающим, отражающим взаимосвязи в мире вещей и проц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ессов. Поэтому необходимо развивать в себе и в детях мышление «критическое», которое единственно ценно для воспитания и развития. В конце 20-го века к вопросам критического мышления вновь вернутся лучшие американские умы. Так, Дэвид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Клустер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пришел к заключ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ению, что критическое мышление - это «мышление самостоятельное, социальное, включается в процессе сбора информации, а затем постановки вопросов и определения проблем, требующих решения». Наибольший вклад в развитие этого научного направления внес Л.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Выг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отский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являющийся основателем культурно-исторического подхода.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рамках нашего проектного замысла мы, придерживаясь точки зрения И. 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Низовской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будем рассматривать критическое мышление как вид мышления, основанный на сложном мыслительном процессе комбин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ирования и интегрирования идей, ресурсов,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переосмысления и  понимания, начинающийся с восприятия информации и заканчивающийся принятием решения. Стоит отметить, что сегодня научное сообщество рассматривает критическое мышление как сложную,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многоаспектную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истему, выделяя в ней разные компоненты: когнитивный (мыслительные операции: способность к анализу, синтезу, обобщению, выявление аналогий, выделение существенных признаков и гибкость мышления) и личностный (познавательные потребности,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сензитивность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урове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самоактуализации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сопричастность к происходящему и т.д.).</w:t>
      </w:r>
    </w:p>
    <w:p w:rsidR="009A6159" w:rsidRDefault="00F15DE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 современных теоретических разработках отечественных и зарубежных исследователей критическое мышление рассматривается как один из важнейших “мягких” или “гибких” навыков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soft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skills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) - навыков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будущего, которым должен обладать человек. В 2016 году на Мировом экономическом форуме в Давосе (Швейцария) были сформулированы основные, общепринятые гибкие навыки, необходимые человеку в XXI веке для успешной профессиональной деятельности и повседневной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жизни, в их числе - критическое мышление</w:t>
      </w:r>
      <w:r>
        <w:rPr>
          <w:rFonts w:ascii="Times New Roman" w:eastAsia="Times New Roman" w:hAnsi="Times New Roman" w:cs="Times New Roman"/>
          <w:sz w:val="23"/>
          <w:szCs w:val="23"/>
          <w:highlight w:val="white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Согласно прогнозу ученых, оно занимает второе по значимости место среди всех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soft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skills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, уступая только способности разрешать сложные задачи.</w:t>
      </w:r>
      <w:r>
        <w:rPr>
          <w:rFonts w:ascii="Times New Roman" w:eastAsia="Times New Roman" w:hAnsi="Times New Roman" w:cs="Times New Roman"/>
          <w:sz w:val="23"/>
          <w:szCs w:val="23"/>
          <w:highlight w:val="white"/>
        </w:rPr>
        <w:t xml:space="preserve"> </w:t>
      </w:r>
    </w:p>
    <w:p w:rsidR="009A6159" w:rsidRDefault="00F15DE1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На этапе реализации ФГОС в поле исследовательского внимания попадает в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опрос, связанный с технологиями, методами развития критического мышления к подготовке мыслящих выпускников, которые рассматриваются в контексте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системно-деятельностного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подхода. Он позволяет выстраивать систему деятельности всех субъектов образовательного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процесса – педагогов, обучающихся, родителей (идеи системного подхода) и развивать критическое мышление  на основе активного включения их в деятельность (идеи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деятельностного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подхода). В то же время технологии развития критического мышления дают возможност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ь развивать функциональную грамотность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</w:p>
    <w:p w:rsidR="009A6159" w:rsidRDefault="00F15DE1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Значимость среды для развития учащихся отмечали многие известные педагоги, в том числе М.А.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Пинская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и А.М. Михайлова [1]. Они утверждали, что объектом воздействия педагога должны быть условия, среда сущес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твования ребенка – предметы, люди, их межличностные отношения, деятельность.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Основные положения мотивирующей образовательной среды представлены в исследованиях Г.Ю. Беляева [21], Ю.С. Мануйлова [129], В.И.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Слободчикова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[197], В.А.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Ясвина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[248] и в совокупн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ости подтверждают мнение А.В. Мудрика о том, что активизация жизнедеятельности образовательной организации во многом зависит от того, насколько её содержание субъективно значимо для человека, информационно насыщенно, позволяет добиваться образовательных ре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зультатов.</w:t>
      </w:r>
      <w:proofErr w:type="gramEnd"/>
    </w:p>
    <w:p w:rsidR="009A6159" w:rsidRDefault="00F15DE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2.5 Обозначение культурной традиции, в рамках которой предполагается решить поставленную проблему, обоснование выбора</w:t>
      </w:r>
    </w:p>
    <w:p w:rsidR="009A6159" w:rsidRDefault="00F15DE1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ликвидации обозначенных выше проблемных точек необходимо выстроить такую образовательную среду, которая будет направлена на усовершенствование  организационных, содержательных, кадровых условий с максимальным использованием потенциальных ресурсов учреж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дения для развития критического мышления школьников в процессе решения проблем.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Если говорить о недостаточной мотивации школьников к познанию нового и учебе, то решение проблемы видим в создании  таких мотивационных условий, как организация диалогового вза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имодействия с родителями, подбор адекватного запросам и интересам детей материала, включение в образовательную деятельность в данном направлении образовательных событий,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организационно-деятельностных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игр, в том числе соревновательного характера, позволяющи</w:t>
      </w:r>
      <w:r>
        <w:rPr>
          <w:rFonts w:ascii="Times New Roman" w:eastAsia="Times New Roman" w:hAnsi="Times New Roman" w:cs="Times New Roman"/>
          <w:sz w:val="28"/>
          <w:szCs w:val="28"/>
        </w:rPr>
        <w:t>х принимать эффективные решения при разных вариантах развития событий.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Считаем, что создание таких условий образовательной деятельности приведет к количественным и качественным изменениям в когнитивной (мыслительные операции) и личностной (познавательные 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отребности,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самоактуализация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сопричастность к происходящему) структурах критического мышления.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А это путь к существенному улучшению качества преподавания средствами формирования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soft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self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skills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A6159" w:rsidRDefault="00F15DE1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Стоит учесть, что критическое мышление, как один из навык</w:t>
      </w:r>
      <w:r>
        <w:rPr>
          <w:rFonts w:ascii="Times New Roman" w:eastAsia="Times New Roman" w:hAnsi="Times New Roman" w:cs="Times New Roman"/>
          <w:sz w:val="28"/>
          <w:szCs w:val="28"/>
        </w:rPr>
        <w:t>ов будущего - это совокупность высокоуровневых когнитивных операций, связанных с преобразованием информации, полученной из разных источников, в новые идеи, продукты и решения. Оно невозможно без фундамента. “Мостиком” между первоначальными навыками и навык</w:t>
      </w:r>
      <w:r>
        <w:rPr>
          <w:rFonts w:ascii="Times New Roman" w:eastAsia="Times New Roman" w:hAnsi="Times New Roman" w:cs="Times New Roman"/>
          <w:sz w:val="28"/>
          <w:szCs w:val="28"/>
        </w:rPr>
        <w:t>ами будущего сегодня становится функциональная грамотность. В нашем случае она выступает инструментом формирования основных фундаментальных умений - способностью оперировать информацией разных типов и форматов для решения нешаблонных задач, навыков аналити</w:t>
      </w:r>
      <w:r>
        <w:rPr>
          <w:rFonts w:ascii="Times New Roman" w:eastAsia="Times New Roman" w:hAnsi="Times New Roman" w:cs="Times New Roman"/>
          <w:sz w:val="28"/>
          <w:szCs w:val="28"/>
        </w:rPr>
        <w:t>ческого чтения, естественнонаучной, математической, финансовой грамотности. Поэтому решение найти точки соприкосновения критического мышления и функциональной грамотности представляется нам максимально логичным.</w:t>
      </w:r>
    </w:p>
    <w:p w:rsidR="009A6159" w:rsidRDefault="00F15DE1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.6. Проектный замысел</w:t>
      </w:r>
    </w:p>
    <w:p w:rsidR="009A6159" w:rsidRDefault="00F15DE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достижения поставленных целей в содержательной части проекта планируется отбирать такие задания PISA, контекст которых максимально приближен к реальной жизни и в то же время способствует развитию критического мышления. Для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очевидно, что данные зада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чи и ситуации должны быть встроены как в урочную, так и во внеурочную деятельность. </w:t>
      </w:r>
    </w:p>
    <w:p w:rsidR="009A6159" w:rsidRDefault="00F15DE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Кроме того, для нас важно добиться высокого уровня мотивации, осознанности и включенности не только учащихся, но и их родителей в этот процесс. Необходимо добиваться приня</w:t>
      </w:r>
      <w:r>
        <w:rPr>
          <w:rFonts w:ascii="Times New Roman" w:eastAsia="Times New Roman" w:hAnsi="Times New Roman" w:cs="Times New Roman"/>
          <w:sz w:val="28"/>
          <w:szCs w:val="28"/>
        </w:rPr>
        <w:t>тия данными группами обозначенных нами образовательных ценностей, чтобы вооружить детей навыками для жизни в будущем.</w:t>
      </w:r>
    </w:p>
    <w:p w:rsidR="009A6159" w:rsidRDefault="00F15DE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Целевой группой проекта выбрана параллель обучающихся 5-ых классов. Реализация проекта в течение 2021/2022 учебного года позволит с</w:t>
      </w:r>
      <w:r>
        <w:rPr>
          <w:rFonts w:ascii="Times New Roman" w:eastAsia="Times New Roman" w:hAnsi="Times New Roman" w:cs="Times New Roman"/>
          <w:sz w:val="28"/>
          <w:szCs w:val="28"/>
        </w:rPr>
        <w:t>делать выводы об эффективности внедряемой модели формирования функциональной грамотности на данной целевой аудитории, внести необходимые коррективы, определить перспективы развития проекта по учебным годам вплоть до окончания учениками основной школы.</w:t>
      </w:r>
    </w:p>
    <w:p w:rsidR="009A6159" w:rsidRDefault="009A615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9A6159" w:rsidRDefault="00F15DE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Усл</w:t>
      </w:r>
      <w:r>
        <w:rPr>
          <w:rFonts w:ascii="Times New Roman" w:eastAsia="Times New Roman" w:hAnsi="Times New Roman" w:cs="Times New Roman"/>
          <w:sz w:val="28"/>
          <w:szCs w:val="28"/>
        </w:rPr>
        <w:t>овия реализации проекта:</w:t>
      </w:r>
    </w:p>
    <w:p w:rsidR="009A6159" w:rsidRDefault="00F15DE1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Содержательные условия.</w:t>
      </w:r>
    </w:p>
    <w:p w:rsidR="009A6159" w:rsidRDefault="00F15DE1">
      <w:pPr>
        <w:spacing w:after="0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рамках проекта предполагается ознакомление со следующими  видами функциональной грамотности в рамках внеурочной деятельности по модулям: 1 модуль –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“В поисках вершков и корешков” (читательская грамотность)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, 2 модуль – “Зри в корень” (математическая грамотность), 3 модуль – “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Фиксики</w:t>
      </w:r>
      <w:proofErr w:type="spellEnd"/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”(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экспериментальное направление), 4 модуль – “Поле чудес в стране финансов”(финансовая грамотность).</w:t>
      </w: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>Каждый модуль рассчитан на 8 часов.  В каждом модуле  заведены следующие усло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вия: </w:t>
      </w:r>
    </w:p>
    <w:p w:rsidR="009A6159" w:rsidRDefault="00F15DE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Флешстарт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 Это мотивационный крючок, который позволит  ознакомить  детей с предстоящим курсом и стимулировать их  интерес к изучению материала.</w:t>
      </w:r>
    </w:p>
    <w:p w:rsidR="009A6159" w:rsidRDefault="00F15DE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Состязательность. По итогам выполнения заданий в рамках освоения каждого модуля классы получают определенное количество баллов, выстраивается коллективный рейтинг. Дополнительные баллы можно получить на итоговом образовательном событии.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Это позволит повыси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ответственность каждого за коллективный результат и личную мотивацию.</w:t>
      </w:r>
    </w:p>
    <w:p w:rsidR="009A6159" w:rsidRDefault="00F15DE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Уровневый подход при отборе содержания для развития критического мышления. </w:t>
      </w:r>
    </w:p>
    <w:p w:rsidR="009A6159" w:rsidRDefault="00F15DE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Содержание заданий должно быть направлено на формирование навыков критического мышления (эффективный анализ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поступающей информации, отбор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информации для принятия оптимального решения, грамотное формулирование выводов, принятие решения с опорой на исходные данные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) и отражать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основные подходы к формированию функциональной грамотности обучающихся.</w:t>
      </w:r>
    </w:p>
    <w:p w:rsidR="009A6159" w:rsidRDefault="00F15DE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Включенность ро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дителей. На всех этапах реализации проекта родители являются полноправными его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со-участниками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, выступают в качестве членов команд классов при решении задач.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A6159" w:rsidRDefault="00F15DE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Мониторинг уровня мотивации к 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проблемных задач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 xml:space="preserve"> </w:t>
      </w:r>
    </w:p>
    <w:p w:rsidR="009A6159" w:rsidRDefault="00F15DE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Итоговое образовательное событие </w:t>
      </w:r>
      <w:r w:rsidRPr="00F15DE1">
        <w:rPr>
          <w:rFonts w:ascii="Times New Roman" w:eastAsia="Times New Roman" w:hAnsi="Times New Roman" w:cs="Times New Roman"/>
          <w:color w:val="000000"/>
          <w:sz w:val="28"/>
          <w:szCs w:val="28"/>
        </w:rPr>
        <w:t>«Учимс</w:t>
      </w:r>
      <w:r w:rsidRPr="00F15DE1">
        <w:rPr>
          <w:rFonts w:ascii="Times New Roman" w:eastAsia="Times New Roman" w:hAnsi="Times New Roman" w:cs="Times New Roman"/>
          <w:color w:val="000000"/>
          <w:sz w:val="28"/>
          <w:szCs w:val="28"/>
        </w:rPr>
        <w:t>я для жизни</w:t>
      </w:r>
      <w:r w:rsidRPr="00F15DE1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proofErr w:type="gramStart"/>
      <w:r w:rsidRPr="00F15DE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редполагается проведение образовательного события.</w:t>
      </w:r>
    </w:p>
    <w:p w:rsidR="009A6159" w:rsidRDefault="00F15DE1">
      <w:pPr>
        <w:pBdr>
          <w:top w:val="nil"/>
          <w:left w:val="nil"/>
          <w:bottom w:val="nil"/>
          <w:right w:val="nil"/>
          <w:between w:val="nil"/>
        </w:pBd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урочной деятельности предполагается использование материала, основанного на интеграции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межпредметного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метапредметного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содержания при решении проблемных заданий,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 том числе в формате PI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SA,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 также приемов, методов и технологий развития критического мышления.</w:t>
      </w:r>
    </w:p>
    <w:p w:rsidR="009A6159" w:rsidRDefault="00F15DE1">
      <w:pPr>
        <w:pBdr>
          <w:top w:val="nil"/>
          <w:left w:val="nil"/>
          <w:bottom w:val="nil"/>
          <w:right w:val="nil"/>
          <w:between w:val="nil"/>
        </w:pBd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2. Организационные условия связаны, в первую очередь, с кластерным  подходом к организации методической работы с опорой на проектное педагогическое мышление. Общее руководство разраб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откой и реализацией проекта осуществляет проектный офис “Развитие критического мышления средствами функциональной грамотности”, который разбивается на 4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инновационных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группы: читательская, математическая, естественнонаучная, финансовая грамотность. Такой п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одход характеризуется особой инновационной компетентностью гибко и эффективно адаптироваться к динамике вызовов педагогической действительности и одновременно на субъектном уровне генерировать актуальное содержание и опыт, обновляющиеся ценности, смыслы ка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к источник мотивационного развития.  Комплектование групп происходит педагогами из разных предметных областей, разных уровней образования, на добровольной основе, что может гарантировать отсутствие “случайных” людей в данном процессе. Усилия педагогическог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о коллектива в части работы над темой формирования функциональной грамотности в течение предыдущего учебного года принесли свои плоды: есть понимание и принятие данной образовательной ценности большинством учителей.</w:t>
      </w:r>
    </w:p>
    <w:p w:rsidR="009A6159" w:rsidRDefault="00F15DE1">
      <w:pPr>
        <w:pBdr>
          <w:top w:val="nil"/>
          <w:left w:val="nil"/>
          <w:bottom w:val="nil"/>
          <w:right w:val="nil"/>
          <w:between w:val="nil"/>
        </w:pBd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3. </w:t>
      </w:r>
      <w:r>
        <w:rPr>
          <w:rFonts w:ascii="Times New Roman" w:eastAsia="Times New Roman" w:hAnsi="Times New Roman" w:cs="Times New Roman"/>
          <w:sz w:val="28"/>
          <w:szCs w:val="28"/>
        </w:rPr>
        <w:t>Под мотивационными условиями понимаем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подбор содержания, технологий по развитию критического мышления, а также активное привлечение родителей в образовательную деятельность. В идеале мы видим любознательного, с энтузиазмом и интересом берущегося за трудное задание ученика, инициатива которого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поддерживаются родителями, знающими точный ответ на вопрос: “Зачем это нужно моему ребенку?”</w:t>
      </w:r>
    </w:p>
    <w:p w:rsidR="009A6159" w:rsidRDefault="00F15DE1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2.7 Кр</w:t>
      </w:r>
      <w:r>
        <w:rPr>
          <w:rFonts w:ascii="Times New Roman" w:eastAsia="Times New Roman" w:hAnsi="Times New Roman" w:cs="Times New Roman"/>
          <w:sz w:val="28"/>
          <w:szCs w:val="28"/>
        </w:rPr>
        <w:t>аткий план реализации проектного замысла</w:t>
      </w:r>
    </w:p>
    <w:p w:rsidR="009A6159" w:rsidRDefault="009A6159">
      <w:pPr>
        <w:pBdr>
          <w:top w:val="nil"/>
          <w:left w:val="nil"/>
          <w:bottom w:val="nil"/>
          <w:right w:val="nil"/>
          <w:between w:val="nil"/>
        </w:pBdr>
        <w:spacing w:after="0"/>
        <w:ind w:left="106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7"/>
        <w:tblW w:w="933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/>
      </w:tblPr>
      <w:tblGrid>
        <w:gridCol w:w="540"/>
        <w:gridCol w:w="2670"/>
        <w:gridCol w:w="3150"/>
        <w:gridCol w:w="2970"/>
      </w:tblGrid>
      <w:tr w:rsidR="009A6159" w:rsidTr="00F15DE1">
        <w:trPr>
          <w:cantSplit/>
          <w:trHeight w:val="1115"/>
          <w:tblHeader/>
        </w:trPr>
        <w:tc>
          <w:tcPr>
            <w:tcW w:w="5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6159" w:rsidRDefault="00F15DE1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6159" w:rsidRDefault="00F15DE1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Этап</w:t>
            </w:r>
          </w:p>
        </w:tc>
        <w:tc>
          <w:tcPr>
            <w:tcW w:w="31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6159" w:rsidRDefault="00F15DE1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</w:t>
            </w:r>
          </w:p>
        </w:tc>
        <w:tc>
          <w:tcPr>
            <w:tcW w:w="29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6159" w:rsidRDefault="00F15DE1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Продукт или документ, отражающий реализованное действие</w:t>
            </w:r>
          </w:p>
        </w:tc>
      </w:tr>
      <w:tr w:rsidR="009A6159" w:rsidTr="00F15DE1">
        <w:trPr>
          <w:cantSplit/>
          <w:trHeight w:val="1115"/>
          <w:tblHeader/>
        </w:trPr>
        <w:tc>
          <w:tcPr>
            <w:tcW w:w="540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6159" w:rsidRDefault="00F15DE1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70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6159" w:rsidRDefault="00F15DE1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Разработческий</w:t>
            </w:r>
            <w:proofErr w:type="spellEnd"/>
          </w:p>
        </w:tc>
        <w:tc>
          <w:tcPr>
            <w:tcW w:w="31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6159" w:rsidRDefault="00F15DE1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курсов внеурочной деятельности</w:t>
            </w:r>
          </w:p>
        </w:tc>
        <w:tc>
          <w:tcPr>
            <w:tcW w:w="29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6159" w:rsidRDefault="00F15DE1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 курсов</w:t>
            </w:r>
          </w:p>
        </w:tc>
      </w:tr>
      <w:tr w:rsidR="009A6159" w:rsidTr="00F15DE1">
        <w:trPr>
          <w:cantSplit/>
          <w:trHeight w:val="2735"/>
          <w:tblHeader/>
        </w:trPr>
        <w:tc>
          <w:tcPr>
            <w:tcW w:w="5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6159" w:rsidRDefault="009A6159">
            <w:pPr>
              <w:spacing w:after="0"/>
              <w:ind w:left="10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6159" w:rsidRDefault="009A61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6159" w:rsidRDefault="00F15D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Внедрение кластерного подхода к организации методической работы по данному направлению</w:t>
            </w:r>
          </w:p>
          <w:p w:rsidR="009A6159" w:rsidRDefault="00F15DE1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6159" w:rsidRDefault="00F15DE1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Создание проектного офиса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развитию критического мышления по 4 направлениям  функциональной грамотности (4 проектные группы: читательская, математическая, естественнонаучная, финансовая)</w:t>
            </w:r>
          </w:p>
        </w:tc>
      </w:tr>
      <w:tr w:rsidR="009A6159" w:rsidTr="00F15DE1">
        <w:trPr>
          <w:cantSplit/>
          <w:trHeight w:val="1535"/>
          <w:tblHeader/>
        </w:trPr>
        <w:tc>
          <w:tcPr>
            <w:tcW w:w="5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6159" w:rsidRDefault="009A6159">
            <w:pPr>
              <w:spacing w:after="0"/>
              <w:ind w:left="10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6159" w:rsidRDefault="009A61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6159" w:rsidRDefault="00F15D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установочного семинара для педагогов</w:t>
            </w:r>
          </w:p>
        </w:tc>
        <w:tc>
          <w:tcPr>
            <w:tcW w:w="2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6159" w:rsidRDefault="00F15DE1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Сценарий</w:t>
            </w:r>
          </w:p>
        </w:tc>
      </w:tr>
      <w:tr w:rsidR="009A6159" w:rsidTr="00F15DE1">
        <w:trPr>
          <w:cantSplit/>
          <w:trHeight w:val="2015"/>
          <w:tblHeader/>
        </w:trPr>
        <w:tc>
          <w:tcPr>
            <w:tcW w:w="5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6159" w:rsidRDefault="009A6159">
            <w:pPr>
              <w:spacing w:after="0"/>
              <w:ind w:left="10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6159" w:rsidRDefault="009A61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6159" w:rsidRDefault="00F15DE1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педагогов по программам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повышения квалификации по направлениям «Функциональная грамотность», “Критическое мышление”</w:t>
            </w:r>
          </w:p>
        </w:tc>
        <w:tc>
          <w:tcPr>
            <w:tcW w:w="2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6159" w:rsidRDefault="00F15DE1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педагогов, освоивших программы повышения квалификации по данным направлениям</w:t>
            </w:r>
          </w:p>
          <w:p w:rsidR="009A6159" w:rsidRDefault="00F15DE1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(не менее 25%)</w:t>
            </w:r>
          </w:p>
        </w:tc>
      </w:tr>
      <w:tr w:rsidR="009A6159" w:rsidTr="00F15DE1">
        <w:trPr>
          <w:cantSplit/>
          <w:trHeight w:val="9600"/>
          <w:tblHeader/>
        </w:trPr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6159" w:rsidRDefault="00F15DE1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2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6159" w:rsidRDefault="00F15DE1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Этап реализации  </w:t>
            </w:r>
          </w:p>
        </w:tc>
        <w:tc>
          <w:tcPr>
            <w:tcW w:w="31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6159" w:rsidRDefault="00F15DE1">
            <w:pPr>
              <w:numPr>
                <w:ilvl w:val="0"/>
                <w:numId w:val="3"/>
              </w:numPr>
              <w:spacing w:before="240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родительского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коворинга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«Функциональная грамотность – современный образовательный тренд»</w:t>
            </w:r>
          </w:p>
          <w:p w:rsidR="009A6159" w:rsidRDefault="00F15DE1">
            <w:pPr>
              <w:numPr>
                <w:ilvl w:val="0"/>
                <w:numId w:val="3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Флешстартов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для запуска каждого модуля по формированию функциональной грамотности</w:t>
            </w:r>
          </w:p>
          <w:p w:rsidR="009A6159" w:rsidRDefault="00F15DE1">
            <w:pPr>
              <w:numPr>
                <w:ilvl w:val="0"/>
                <w:numId w:val="3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заключительной образовательной игра «Учимся для 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изни»</w:t>
            </w:r>
            <w:proofErr w:type="gramEnd"/>
          </w:p>
          <w:p w:rsidR="009A6159" w:rsidRDefault="00F15DE1">
            <w:pPr>
              <w:numPr>
                <w:ilvl w:val="0"/>
                <w:numId w:val="3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семинаров, мастер-классов, презентаций, открытых уроков и занятий в рамках Единых методических дней</w:t>
            </w:r>
          </w:p>
          <w:p w:rsidR="009A6159" w:rsidRDefault="00F15DE1">
            <w:pPr>
              <w:numPr>
                <w:ilvl w:val="0"/>
                <w:numId w:val="3"/>
              </w:num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диагностики  мотивации к решению “жизненных” задач</w:t>
            </w:r>
          </w:p>
        </w:tc>
        <w:tc>
          <w:tcPr>
            <w:tcW w:w="2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6159" w:rsidRDefault="00F15DE1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Сценарный план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встречи с родителями; охват родителей  - не менее  55%;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отзывы родителей</w:t>
            </w:r>
          </w:p>
          <w:p w:rsidR="009A6159" w:rsidRDefault="00F15DE1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A6159" w:rsidRDefault="00F15DE1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A6159" w:rsidRDefault="00F15DE1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A6159" w:rsidRDefault="00F15DE1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A6159" w:rsidRDefault="00F15DE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Сценарии</w:t>
            </w:r>
          </w:p>
          <w:p w:rsidR="009A6159" w:rsidRDefault="00F15DE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A6159" w:rsidRDefault="00F15DE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A6159" w:rsidRDefault="00F15DE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A6159" w:rsidRDefault="00F15DE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A6159" w:rsidRDefault="00F15DE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A6159" w:rsidRDefault="00F15DE1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педагогов, принявших участие в диссеминации опыта по теме (не менее 15 %)</w:t>
            </w:r>
          </w:p>
          <w:p w:rsidR="009A6159" w:rsidRDefault="009A6159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6159" w:rsidRDefault="00F15DE1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Изменение доли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9A6159" w:rsidTr="00F15DE1">
        <w:trPr>
          <w:cantSplit/>
          <w:trHeight w:val="1115"/>
          <w:tblHeader/>
        </w:trPr>
        <w:tc>
          <w:tcPr>
            <w:tcW w:w="54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6159" w:rsidRDefault="00F15DE1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7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6159" w:rsidRDefault="00F15DE1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Аналитический</w:t>
            </w:r>
          </w:p>
        </w:tc>
        <w:tc>
          <w:tcPr>
            <w:tcW w:w="31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6159" w:rsidRDefault="00F15DE1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рефлексивного мероприятия</w:t>
            </w:r>
          </w:p>
        </w:tc>
        <w:tc>
          <w:tcPr>
            <w:tcW w:w="2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6159" w:rsidRDefault="00F15DE1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Аналитическая записка по итогам реализации проекта</w:t>
            </w:r>
          </w:p>
        </w:tc>
      </w:tr>
      <w:tr w:rsidR="009A6159" w:rsidTr="00F15DE1">
        <w:trPr>
          <w:cantSplit/>
          <w:trHeight w:val="1415"/>
          <w:tblHeader/>
        </w:trPr>
        <w:tc>
          <w:tcPr>
            <w:tcW w:w="5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6159" w:rsidRDefault="009A6159">
            <w:pPr>
              <w:spacing w:after="0"/>
              <w:ind w:left="10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6159" w:rsidRDefault="009A61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6159" w:rsidRDefault="00F15DE1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отчетных материалов по итогам реализации проекта</w:t>
            </w:r>
          </w:p>
        </w:tc>
        <w:tc>
          <w:tcPr>
            <w:tcW w:w="2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6159" w:rsidRDefault="00F15DE1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Пакет отчетных материалов</w:t>
            </w:r>
          </w:p>
        </w:tc>
      </w:tr>
    </w:tbl>
    <w:p w:rsidR="009A6159" w:rsidRDefault="00F15DE1" w:rsidP="00F15DE1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lastRenderedPageBreak/>
        <w:t>2.8 Ожидаемые образовательные результаты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A6159" w:rsidRDefault="00F15DE1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Обучающиеся научатся: </w:t>
      </w:r>
    </w:p>
    <w:p w:rsidR="009A6159" w:rsidRDefault="00F15DE1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Использовать информацию из текста для решения практической задачи  без привлечения дополнительных знаний - 45%</w:t>
      </w:r>
    </w:p>
    <w:p w:rsidR="009A6159" w:rsidRDefault="00F15DE1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Использовать информацию из текста для решения практической задачи с привлечением дополнительных  знаний - 5%</w:t>
      </w:r>
    </w:p>
    <w:p w:rsidR="009A6159" w:rsidRDefault="00F15DE1">
      <w:pPr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</w:rPr>
        <w:t>2.9. Ожидаемый продукт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: модель мот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ивирующей среды</w:t>
      </w:r>
    </w:p>
    <w:p w:rsidR="009A6159" w:rsidRDefault="00F15DE1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программы курсов внеурочной деятельности</w:t>
      </w:r>
    </w:p>
    <w:p w:rsidR="009A6159" w:rsidRDefault="00F15DE1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сценарий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установочного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родительского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коворинга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«Функциональная грамотность – современный образовательный тренд»</w:t>
      </w:r>
    </w:p>
    <w:p w:rsidR="009A6159" w:rsidRDefault="00F15DE1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модель методической работы по развитию критического мышления</w:t>
      </w:r>
    </w:p>
    <w:p w:rsidR="009A6159" w:rsidRDefault="009A6159">
      <w:pPr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A6159" w:rsidRDefault="009A615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9A6159" w:rsidSect="009A6159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5A2F29"/>
    <w:multiLevelType w:val="multilevel"/>
    <w:tmpl w:val="FD8EB40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3DA93766"/>
    <w:multiLevelType w:val="multilevel"/>
    <w:tmpl w:val="1E389D2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48B1794C"/>
    <w:multiLevelType w:val="multilevel"/>
    <w:tmpl w:val="3ADA49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D8497C"/>
    <w:multiLevelType w:val="multilevel"/>
    <w:tmpl w:val="AF560D86"/>
    <w:lvl w:ilvl="0">
      <w:start w:val="1"/>
      <w:numFmt w:val="decimal"/>
      <w:lvlText w:val="%1."/>
      <w:lvlJc w:val="left"/>
      <w:pPr>
        <w:ind w:left="1068" w:hanging="360"/>
      </w:pPr>
      <w:rPr>
        <w:shd w:val="clear" w:color="auto" w:fill="auto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410426D"/>
    <w:multiLevelType w:val="multilevel"/>
    <w:tmpl w:val="023054B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688F0B59"/>
    <w:multiLevelType w:val="multilevel"/>
    <w:tmpl w:val="EF286EF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20"/>
  <w:characterSpacingControl w:val="doNotCompress"/>
  <w:compat/>
  <w:rsids>
    <w:rsidRoot w:val="009A6159"/>
    <w:rsid w:val="009A6159"/>
    <w:rsid w:val="00F15D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3DE"/>
  </w:style>
  <w:style w:type="paragraph" w:styleId="1">
    <w:name w:val="heading 1"/>
    <w:basedOn w:val="normal"/>
    <w:next w:val="normal"/>
    <w:rsid w:val="009A615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next w:val="normal"/>
    <w:rsid w:val="009A615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9A615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9A615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9A6159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next w:val="normal"/>
    <w:rsid w:val="009A615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9A6159"/>
  </w:style>
  <w:style w:type="table" w:customStyle="1" w:styleId="TableNormal">
    <w:name w:val="Table Normal"/>
    <w:rsid w:val="009A615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9A6159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99"/>
    <w:qFormat/>
    <w:rsid w:val="009C201A"/>
    <w:pPr>
      <w:ind w:left="720"/>
      <w:contextualSpacing/>
    </w:pPr>
  </w:style>
  <w:style w:type="table" w:styleId="a5">
    <w:name w:val="Table Grid"/>
    <w:basedOn w:val="a1"/>
    <w:uiPriority w:val="59"/>
    <w:rsid w:val="007313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Subtitle"/>
    <w:basedOn w:val="normal"/>
    <w:next w:val="normal"/>
    <w:rsid w:val="009A615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"/>
    <w:rsid w:val="009A615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-">
    <w:name w:val="Интернет-ссылка"/>
    <w:basedOn w:val="a0"/>
    <w:uiPriority w:val="99"/>
    <w:unhideWhenUsed/>
    <w:rsid w:val="00F15DE1"/>
    <w:rPr>
      <w:color w:val="0000FF" w:themeColor="hyperlink"/>
      <w:u w:val="single"/>
    </w:rPr>
  </w:style>
  <w:style w:type="character" w:styleId="a8">
    <w:name w:val="Hyperlink"/>
    <w:basedOn w:val="a0"/>
    <w:uiPriority w:val="99"/>
    <w:unhideWhenUsed/>
    <w:rsid w:val="00F15DE1"/>
    <w:rPr>
      <w:color w:val="0000FF" w:themeColor="hyperlink"/>
      <w:u w:val="single"/>
    </w:rPr>
  </w:style>
  <w:style w:type="paragraph" w:styleId="a9">
    <w:name w:val="Normal (Web)"/>
    <w:basedOn w:val="a"/>
    <w:uiPriority w:val="99"/>
    <w:semiHidden/>
    <w:unhideWhenUsed/>
    <w:rsid w:val="00F15D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yayab@yandex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olga-elkina@yandex.ru" TargetMode="External"/><Relationship Id="rId12" Type="http://schemas.openxmlformats.org/officeDocument/2006/relationships/hyperlink" Target="mailto:kunn2017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nyayab@yandex.ru" TargetMode="External"/><Relationship Id="rId11" Type="http://schemas.openxmlformats.org/officeDocument/2006/relationships/hyperlink" Target="mailto:hromtsova.sveta@yandex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okrushina_elena@inbox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arisa-green.59@mai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0fdLPyyuZDNSbOEEkumX/VekyfQ==">AMUW2mXnzIjBRj1X9UVdRllyvLLPxtSDn09/Yhbi07dnZL1oLP9ogQ7LQr0DpfGa1tX2agayV3W0UfDACnPvgoROcx2OQYgJa7tzIGsAGLyPoIBxdd377u8=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3009</Words>
  <Characters>17154</Characters>
  <Application>Microsoft Office Word</Application>
  <DocSecurity>0</DocSecurity>
  <Lines>142</Lines>
  <Paragraphs>40</Paragraphs>
  <ScaleCrop>false</ScaleCrop>
  <Company>Reanimator Extreme Edition</Company>
  <LinksUpToDate>false</LinksUpToDate>
  <CharactersWithSpaces>20123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Владимировна_2</dc:creator>
  <cp:lastModifiedBy>Андрей Ситчихин</cp:lastModifiedBy>
  <cp:revision>2</cp:revision>
  <dcterms:created xsi:type="dcterms:W3CDTF">2021-09-23T03:15:00Z</dcterms:created>
  <dcterms:modified xsi:type="dcterms:W3CDTF">2021-09-27T16:01:00Z</dcterms:modified>
</cp:coreProperties>
</file>